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E9" w:rsidRDefault="009D357B">
      <w:pPr>
        <w:pStyle w:val="1"/>
      </w:pPr>
      <w:bookmarkStart w:id="0" w:name="_GoBack"/>
      <w:bookmarkEnd w:id="0"/>
      <w:r>
        <w:t>Письмо Минтруда России № 18-2/10/В-12085 от 16 декабря 2020 г.</w:t>
      </w:r>
    </w:p>
    <w:p w:rsidR="004436E9" w:rsidRDefault="009D357B">
      <w:pPr>
        <w:pStyle w:val="2"/>
      </w:pPr>
      <w:r>
        <w:t>Федеральные государственные органы</w:t>
      </w:r>
      <w:r>
        <w:br/>
        <w:t>Высшие органы исполнительной власти субъектов Российской Федерации</w:t>
      </w:r>
      <w:r>
        <w:br/>
        <w:t xml:space="preserve">Организации </w:t>
      </w:r>
    </w:p>
    <w:p w:rsidR="004436E9" w:rsidRDefault="009D357B">
      <w:pPr>
        <w:pStyle w:val="a0"/>
      </w:pPr>
      <w:r>
        <w:t xml:space="preserve">Министерством труда и социальной защиты Российской Федерации в рамках </w:t>
      </w:r>
      <w:r>
        <w:t>реализации полномочий, предусмотренных подпунктами «а» и «в» пункта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коррупции», направляется Информационное</w:t>
      </w:r>
      <w:r>
        <w:t xml:space="preserve"> письмо о возможности приобретения цифровых финансовых активов и цифровой валюты и владения ими отдельными категориями лиц.</w:t>
      </w:r>
    </w:p>
    <w:p w:rsidR="004436E9" w:rsidRDefault="009D357B">
      <w:pPr>
        <w:pStyle w:val="a0"/>
      </w:pPr>
      <w:r>
        <w:t>Просим довести до сведения всех заинтересованных должностных лиц положения вышеуказанного Информационного письма, а также руководств</w:t>
      </w:r>
      <w:r>
        <w:t>оваться им в дальнейшей деятельности по противодействию коррупции.</w:t>
      </w:r>
    </w:p>
    <w:p w:rsidR="004436E9" w:rsidRDefault="009D357B">
      <w:pPr>
        <w:pStyle w:val="a0"/>
      </w:pPr>
      <w:r>
        <w:rPr>
          <w:rStyle w:val="StrongEmphasis"/>
        </w:rPr>
        <w:t>Первый заместитель Министра труда и социальной защиты Российской Федерации</w:t>
      </w:r>
    </w:p>
    <w:p w:rsidR="004436E9" w:rsidRDefault="009D357B">
      <w:pPr>
        <w:pStyle w:val="a0"/>
      </w:pPr>
      <w:r>
        <w:rPr>
          <w:rStyle w:val="StrongEmphasis"/>
        </w:rPr>
        <w:t>А.В. Вовченко</w:t>
      </w:r>
    </w:p>
    <w:p w:rsidR="004436E9" w:rsidRDefault="009D357B">
      <w:pPr>
        <w:pStyle w:val="a0"/>
      </w:pPr>
      <w:r>
        <w:rPr>
          <w:rStyle w:val="StrongEmphasis"/>
        </w:rPr>
        <w:t xml:space="preserve">Информационное письмо </w:t>
      </w:r>
      <w:r>
        <w:rPr>
          <w:rStyle w:val="StrongEmphasis"/>
        </w:rPr>
        <w:br/>
      </w:r>
      <w:r>
        <w:t>о возможности приобретения цифровых финансовых активов и цифровой валюты и вл</w:t>
      </w:r>
      <w:r>
        <w:t>адения ими отдельными категориями лиц</w:t>
      </w:r>
    </w:p>
    <w:p w:rsidR="004436E9" w:rsidRDefault="009D357B">
      <w:pPr>
        <w:pStyle w:val="a0"/>
      </w:pPr>
      <w:r>
        <w:t> </w:t>
      </w:r>
    </w:p>
    <w:p w:rsidR="004436E9" w:rsidRDefault="009D357B">
      <w:pPr>
        <w:pStyle w:val="a0"/>
      </w:pPr>
      <w:r>
        <w:t>В связи с принятием Федерального закона от 31 июля 2020 г. № 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</w:t>
      </w:r>
      <w:r>
        <w:t>акон № 259-ФЗ) в Российской Федерации устанавливается нормативное правовое регулирование вопросов, связанных с цифровыми финансовыми активами</w:t>
      </w:r>
      <w:hyperlink w:anchor="_ftn1">
        <w:r>
          <w:rPr>
            <w:rStyle w:val="InternetLink"/>
            <w:position w:val="8"/>
            <w:sz w:val="19"/>
          </w:rPr>
          <w:t>[1]</w:t>
        </w:r>
      </w:hyperlink>
      <w:r>
        <w:t xml:space="preserve"> и цифровой валютой</w:t>
      </w:r>
      <w:hyperlink w:anchor="_ftn2">
        <w:r>
          <w:rPr>
            <w:rStyle w:val="InternetLink"/>
            <w:position w:val="8"/>
            <w:sz w:val="19"/>
          </w:rPr>
          <w:t>[2]</w:t>
        </w:r>
      </w:hyperlink>
      <w:r>
        <w:t>. Указанное регулирование затрагив</w:t>
      </w:r>
      <w:r>
        <w:t>ает, в частности, вопросы противодействия коррупции.</w:t>
      </w:r>
    </w:p>
    <w:p w:rsidR="004436E9" w:rsidRDefault="009D357B">
      <w:pPr>
        <w:pStyle w:val="a0"/>
      </w:pPr>
      <w:r>
        <w:t>В первую очередь, необходимо учитывать, что Федеральный закон № 259-ФЗ (за исключением отдельного положения</w:t>
      </w:r>
      <w:hyperlink w:anchor="_ftn3">
        <w:r>
          <w:rPr>
            <w:rStyle w:val="InternetLink"/>
            <w:position w:val="8"/>
            <w:sz w:val="19"/>
          </w:rPr>
          <w:t>[3]</w:t>
        </w:r>
      </w:hyperlink>
      <w:r>
        <w:t>) вступает в силу с 1 января 2021 г.</w:t>
      </w:r>
    </w:p>
    <w:p w:rsidR="004436E9" w:rsidRDefault="009D357B">
      <w:pPr>
        <w:pStyle w:val="a0"/>
      </w:pPr>
      <w:r>
        <w:t>Настоящее информационное пис</w:t>
      </w:r>
      <w:r>
        <w:t>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</w:t>
      </w:r>
      <w:r>
        <w:t>ми Центрального банка Российской Федерации, работниками отдельных категорий организаций, и владения ими с 1 января 2021 г.</w:t>
      </w:r>
    </w:p>
    <w:p w:rsidR="004436E9" w:rsidRDefault="009D357B">
      <w:pPr>
        <w:pStyle w:val="a0"/>
      </w:pPr>
      <w:r>
        <w:t>При отнесении тех или иных активов к цифровым финансовым активам и цифровой валюте необходимо исходить из того, что действие Федераль</w:t>
      </w:r>
      <w:r>
        <w:t>ного закона № 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(часть 11 статьи 1 Федерального закона № 259-ФЗ).</w:t>
      </w:r>
    </w:p>
    <w:p w:rsidR="004436E9" w:rsidRDefault="009D357B">
      <w:pPr>
        <w:pStyle w:val="a0"/>
      </w:pPr>
      <w:r>
        <w:t>Кроме того, исходя из опре</w:t>
      </w:r>
      <w:r>
        <w:t xml:space="preserve">деления «цифровая валюта», к цифровой валюте не относятся </w:t>
      </w:r>
      <w:r>
        <w:lastRenderedPageBreak/>
        <w:t>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(«кешбэк сервис»).</w:t>
      </w:r>
    </w:p>
    <w:p w:rsidR="004436E9" w:rsidRDefault="009D357B">
      <w:pPr>
        <w:pStyle w:val="a0"/>
      </w:pPr>
      <w:r>
        <w:t>В части, касаю</w:t>
      </w:r>
      <w:r>
        <w:t>щейся внесения изменений в отдельные законодательные акты Российской Федерации о противодействии коррупции в связи с изданием Федерального закона № 259-ФЗ, сообщается следующее. </w:t>
      </w:r>
    </w:p>
    <w:p w:rsidR="004436E9" w:rsidRDefault="009D357B">
      <w:pPr>
        <w:pStyle w:val="a0"/>
        <w:numPr>
          <w:ilvl w:val="0"/>
          <w:numId w:val="1"/>
        </w:numPr>
        <w:tabs>
          <w:tab w:val="left" w:pos="0"/>
        </w:tabs>
      </w:pPr>
      <w:r>
        <w:rPr>
          <w:rStyle w:val="StrongEmphasis"/>
        </w:rPr>
        <w:t>Запрет отдельным категориям лиц открывать и иметь счета (вклады), хранить нал</w:t>
      </w:r>
      <w:r>
        <w:rPr>
          <w:rStyle w:val="StrongEmphasis"/>
        </w:rPr>
        <w:t>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>
        <w:t xml:space="preserve"> </w:t>
      </w:r>
    </w:p>
    <w:p w:rsidR="004436E9" w:rsidRDefault="009D357B">
      <w:pPr>
        <w:pStyle w:val="a0"/>
      </w:pPr>
      <w:r>
        <w:t>С 1 января 2021 г. часть 2 статьи 1 Федерального закона от 7 мая 2013</w:t>
      </w:r>
      <w:r>
        <w:t>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>
        <w:t>нсовыми инструментами» (далее – Федеральный закон от 7 мая 2013 г. № 79-ФЗ) дополняется пунктом 7, согласно которому к иностранным финансовым инструментам будут отнесены:</w:t>
      </w:r>
    </w:p>
    <w:p w:rsidR="004436E9" w:rsidRDefault="009D357B">
      <w:pPr>
        <w:pStyle w:val="a0"/>
      </w:pPr>
      <w:r>
        <w:t xml:space="preserve">- цифровые финансовые активы, выпущенные в информационных системах, организованных в </w:t>
      </w:r>
      <w:r>
        <w:t>соответствии с иностранным правом. Таким образом, для лиц, поименованных в части 1 статьи 2 Федерального закона от 7 мая 2013 г. № 79-ФЗ, устанавливается запрет на владение и пользование цифровыми финансовыми активами, выпущенными в информационных системах</w:t>
      </w:r>
      <w:r>
        <w:t>, организованных в соответствии с иностранным правом;</w:t>
      </w:r>
    </w:p>
    <w:p w:rsidR="004436E9" w:rsidRDefault="009D357B">
      <w:pPr>
        <w:pStyle w:val="a0"/>
      </w:pPr>
      <w:r>
        <w:t xml:space="preserve">- цифровая валюта. Исходя из отсутствия указания в рассматриваемой норме на какую-либо дифференциацию видов цифровой валюты, лицам, поименованным в части 1 статьи 2 Федерального закона от 7 мая 2013 г. </w:t>
      </w:r>
      <w:r>
        <w:t xml:space="preserve">№ 79-ФЗ, будет запрещено владеть и пользоваться </w:t>
      </w:r>
      <w:r>
        <w:rPr>
          <w:rStyle w:val="StrongEmphasis"/>
        </w:rPr>
        <w:t>любой</w:t>
      </w:r>
      <w:r>
        <w:t xml:space="preserve">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</w:t>
      </w:r>
      <w:r>
        <w:t>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4436E9" w:rsidRDefault="009D357B">
      <w:pPr>
        <w:pStyle w:val="a0"/>
      </w:pPr>
      <w:r>
        <w:t xml:space="preserve">Исходя из положений части 6 статьи 27 Федерального закона </w:t>
      </w:r>
      <w:r>
        <w:t xml:space="preserve">№ 259-ФЗ, лица, поименованные в части 1 статьи 2 Федерального закона от 7 мая 2013 г. № 79-ФЗ, </w:t>
      </w:r>
      <w:r>
        <w:rPr>
          <w:rStyle w:val="StrongEmphasis"/>
        </w:rPr>
        <w:t>обязаны до 1 апреля 2021 г. осуществить отчуждение</w:t>
      </w:r>
      <w:r>
        <w:t xml:space="preserve"> цифровых финансовых активов, выпущенных в информационных системах, организованных в соответствии с иностранным</w:t>
      </w:r>
      <w:r>
        <w:t xml:space="preserve"> правом, а также цифровой валюты (вне зависимости от страны выпуска). </w:t>
      </w:r>
    </w:p>
    <w:p w:rsidR="004436E9" w:rsidRDefault="009D357B">
      <w:pPr>
        <w:pStyle w:val="a0"/>
        <w:numPr>
          <w:ilvl w:val="0"/>
          <w:numId w:val="2"/>
        </w:numPr>
        <w:tabs>
          <w:tab w:val="left" w:pos="0"/>
        </w:tabs>
      </w:pPr>
      <w:r>
        <w:rPr>
          <w:rStyle w:val="StrongEmphasis"/>
        </w:rPr>
        <w:t>Представление сведений о расходах.</w:t>
      </w:r>
      <w:r>
        <w:t xml:space="preserve"> </w:t>
      </w:r>
    </w:p>
    <w:p w:rsidR="004436E9" w:rsidRDefault="009D357B">
      <w:pPr>
        <w:pStyle w:val="a0"/>
      </w:pPr>
      <w:r>
        <w:t>С 1 января 2021 г. вступают в силу изменения, предусматривающие корректировку положений Федерального закона от 3 декабря 2012 г. № 230-ФЗ «О контроле</w:t>
      </w:r>
      <w:r>
        <w:t xml:space="preserve"> за соответствием расходов лиц, замещающих государственные должности, и иных лиц их доходам»</w:t>
      </w:r>
      <w:hyperlink w:anchor="_ftn4">
        <w:r>
          <w:rPr>
            <w:rStyle w:val="InternetLink"/>
            <w:position w:val="8"/>
            <w:sz w:val="19"/>
          </w:rPr>
          <w:t>[4]</w:t>
        </w:r>
      </w:hyperlink>
      <w:r>
        <w:t>, согласно которым отдельные категории лиц будут обязаны представлять в установленном порядке сведения о своих расходах, а также о ра</w:t>
      </w:r>
      <w:r>
        <w:t>сходах своих супруги (супруга) и несовершеннолетних детей по каждой сделке по приобретению в том числе цифровых финансовых активов и цифровой валюты.</w:t>
      </w:r>
    </w:p>
    <w:p w:rsidR="004436E9" w:rsidRDefault="009D357B">
      <w:pPr>
        <w:pStyle w:val="a0"/>
      </w:pPr>
      <w:r>
        <w:t xml:space="preserve">Учитывая, что статус цифровых финансовых активов и цифровой валюты в Российской Федерации устанавливается </w:t>
      </w:r>
      <w:r>
        <w:t>с 1 января 2021 г., </w:t>
      </w:r>
      <w:r>
        <w:rPr>
          <w:rStyle w:val="StrongEmphasis"/>
        </w:rPr>
        <w:t xml:space="preserve">не требуется </w:t>
      </w:r>
      <w:r>
        <w:t>сообщать о соответствующих сделках по приобретению цифровых финансовых активов и цифровой валюты, совершенных в 2020 г. </w:t>
      </w:r>
    </w:p>
    <w:p w:rsidR="004436E9" w:rsidRDefault="009D357B">
      <w:pPr>
        <w:pStyle w:val="a0"/>
        <w:numPr>
          <w:ilvl w:val="0"/>
          <w:numId w:val="3"/>
        </w:numPr>
        <w:tabs>
          <w:tab w:val="left" w:pos="0"/>
        </w:tabs>
      </w:pPr>
      <w:r>
        <w:rPr>
          <w:rStyle w:val="StrongEmphasis"/>
        </w:rPr>
        <w:t xml:space="preserve">Отражение цифровых финансовых активов и цифровой валюты в справке о доходах, расходах, об имуществе и </w:t>
      </w:r>
      <w:r>
        <w:rPr>
          <w:rStyle w:val="StrongEmphasis"/>
        </w:rPr>
        <w:t>обязательствах имущественного характера.</w:t>
      </w:r>
      <w:r>
        <w:t xml:space="preserve"> </w:t>
      </w:r>
    </w:p>
    <w:p w:rsidR="004436E9" w:rsidRDefault="009D357B">
      <w:pPr>
        <w:pStyle w:val="a0"/>
      </w:pPr>
      <w:r>
        <w:lastRenderedPageBreak/>
        <w:t xml:space="preserve"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 г. </w:t>
      </w:r>
      <w:r>
        <w:rPr>
          <w:rStyle w:val="StrongEmphasis"/>
        </w:rPr>
        <w:t>не требуется</w:t>
      </w:r>
      <w:r>
        <w:t xml:space="preserve"> представлять</w:t>
      </w:r>
      <w:r>
        <w:t xml:space="preserve"> сведения о цифровых финансовых активах и цифровой валюте по состоянию на 31 декабря 2020 г.</w:t>
      </w:r>
    </w:p>
    <w:p w:rsidR="004436E9" w:rsidRDefault="009D357B">
      <w:pPr>
        <w:pStyle w:val="a0"/>
      </w:pPr>
      <w:r>
        <w:t>В 2021 году для отдельных лиц, претендующих на замещение соответствующих должностей, представить вышеуказанные сведения необходимо в соответствии с пунктом 1 Указа</w:t>
      </w:r>
      <w:r>
        <w:t xml:space="preserve"> Президента Российской Федерации от 10 декабря 2020 г.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4436E9" w:rsidRDefault="009D357B">
      <w:pPr>
        <w:pStyle w:val="a0"/>
      </w:pPr>
      <w: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</w:t>
      </w:r>
      <w:r>
        <w:t>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</w:p>
    <w:p w:rsidR="004436E9" w:rsidRDefault="009D357B">
      <w:pPr>
        <w:pStyle w:val="a0"/>
      </w:pPr>
      <w:hyperlink w:anchor="_ftnref1">
        <w:r>
          <w:rPr>
            <w:rStyle w:val="InternetLink"/>
          </w:rPr>
          <w:t>[1]</w:t>
        </w:r>
      </w:hyperlink>
      <w:r>
        <w:t xml:space="preserve"> См. часть 2 статьи 1 Федерального закона № 259-ФЗ.</w:t>
      </w:r>
    </w:p>
    <w:p w:rsidR="004436E9" w:rsidRDefault="009D357B">
      <w:pPr>
        <w:pStyle w:val="a0"/>
      </w:pPr>
      <w:hyperlink w:anchor="_ftnref2">
        <w:r>
          <w:rPr>
            <w:rStyle w:val="InternetLink"/>
          </w:rPr>
          <w:t>[2]</w:t>
        </w:r>
      </w:hyperlink>
      <w:r>
        <w:t xml:space="preserve"> См. часть 3 статьи 1 Федерального закона № 259-ФЗ.</w:t>
      </w:r>
    </w:p>
    <w:p w:rsidR="004436E9" w:rsidRDefault="009D357B">
      <w:pPr>
        <w:pStyle w:val="a0"/>
      </w:pPr>
      <w:hyperlink w:anchor="_ftnref3">
        <w:r>
          <w:rPr>
            <w:rStyle w:val="InternetLink"/>
          </w:rPr>
          <w:t>[3]</w:t>
        </w:r>
      </w:hyperlink>
      <w:r>
        <w:t xml:space="preserve"> См. части 1, 2 статьи 27 Федерального закона № 259-ФЗ.</w:t>
      </w:r>
    </w:p>
    <w:p w:rsidR="004436E9" w:rsidRDefault="009D357B">
      <w:pPr>
        <w:pStyle w:val="a0"/>
      </w:pPr>
      <w:hyperlink w:anchor="_ftnref4">
        <w:r>
          <w:rPr>
            <w:rStyle w:val="InternetLink"/>
          </w:rPr>
          <w:t>[4]</w:t>
        </w:r>
      </w:hyperlink>
      <w:r>
        <w:t xml:space="preserve"> См. статью 24 Федерального закона № 259-ФЗ.</w:t>
      </w:r>
    </w:p>
    <w:sectPr w:rsidR="004436E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A1A"/>
    <w:multiLevelType w:val="multilevel"/>
    <w:tmpl w:val="7AF0EBBA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E28534D"/>
    <w:multiLevelType w:val="multilevel"/>
    <w:tmpl w:val="E0363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1B05A8"/>
    <w:multiLevelType w:val="multilevel"/>
    <w:tmpl w:val="61C8A10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7A155CB3"/>
    <w:multiLevelType w:val="multilevel"/>
    <w:tmpl w:val="1ED66D5E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E9"/>
    <w:rsid w:val="004436E9"/>
    <w:rsid w:val="009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9131-5082-41F1-9266-F458A5E2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О.С.</dc:creator>
  <dc:description/>
  <cp:lastModifiedBy>Трофимова О.С.</cp:lastModifiedBy>
  <cp:revision>2</cp:revision>
  <dcterms:created xsi:type="dcterms:W3CDTF">2021-01-28T12:26:00Z</dcterms:created>
  <dcterms:modified xsi:type="dcterms:W3CDTF">2021-01-28T12:26:00Z</dcterms:modified>
  <dc:language>en-US</dc:language>
</cp:coreProperties>
</file>